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48" w:rsidRDefault="008A7EFD" w:rsidP="00A73093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Una enciclopedia </w:t>
      </w:r>
      <w:r w:rsidR="001C4505" w:rsidRPr="001C4505">
        <w:rPr>
          <w:b/>
          <w:color w:val="000000"/>
        </w:rPr>
        <w:t>de supuestas reglas para el comportamiento en la mesa</w:t>
      </w:r>
    </w:p>
    <w:p w:rsidR="00F5275E" w:rsidRPr="001C4505" w:rsidRDefault="00F5275E" w:rsidP="001C450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</w:rPr>
      </w:pPr>
    </w:p>
    <w:p w:rsidR="00F5275E" w:rsidRDefault="00F5275E" w:rsidP="00654A5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Luciana Di </w:t>
      </w:r>
      <w:proofErr w:type="spellStart"/>
      <w:r>
        <w:rPr>
          <w:color w:val="000000"/>
        </w:rPr>
        <w:t>Milta</w:t>
      </w:r>
      <w:proofErr w:type="spellEnd"/>
      <w:r>
        <w:rPr>
          <w:rStyle w:val="Refdenotaalpie"/>
          <w:color w:val="000000"/>
        </w:rPr>
        <w:footnoteReference w:id="1"/>
      </w:r>
    </w:p>
    <w:p w:rsidR="003915F0" w:rsidRDefault="003915F0" w:rsidP="00654A5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3915F0" w:rsidRPr="00654A5C" w:rsidRDefault="003915F0" w:rsidP="00654A5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Darío Canton, </w:t>
      </w:r>
      <w:r>
        <w:rPr>
          <w:i/>
          <w:color w:val="000000"/>
        </w:rPr>
        <w:t xml:space="preserve">La mesa. Tratado </w:t>
      </w:r>
      <w:proofErr w:type="spellStart"/>
      <w:r>
        <w:rPr>
          <w:i/>
          <w:color w:val="000000"/>
        </w:rPr>
        <w:t>poeti</w:t>
      </w:r>
      <w:proofErr w:type="spellEnd"/>
      <w:r>
        <w:rPr>
          <w:i/>
          <w:color w:val="000000"/>
        </w:rPr>
        <w:t xml:space="preserve">-lógico, </w:t>
      </w:r>
      <w:r>
        <w:rPr>
          <w:color w:val="000000"/>
        </w:rPr>
        <w:t xml:space="preserve">Buenos Aires, </w:t>
      </w:r>
      <w:proofErr w:type="spellStart"/>
      <w:r>
        <w:rPr>
          <w:color w:val="000000"/>
        </w:rPr>
        <w:t>Zindo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Gafuri</w:t>
      </w:r>
      <w:proofErr w:type="spellEnd"/>
      <w:r>
        <w:rPr>
          <w:color w:val="000000"/>
        </w:rPr>
        <w:t>, 2019</w:t>
      </w:r>
      <w:r>
        <w:rPr>
          <w:color w:val="000000"/>
        </w:rPr>
        <w:t xml:space="preserve">, 228 </w:t>
      </w:r>
      <w:r>
        <w:rPr>
          <w:color w:val="000000"/>
        </w:rPr>
        <w:t>páginas</w:t>
      </w:r>
      <w:r>
        <w:rPr>
          <w:color w:val="000000"/>
        </w:rPr>
        <w:t xml:space="preserve">. </w:t>
      </w:r>
    </w:p>
    <w:p w:rsidR="001C4505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A844046" wp14:editId="1EA29FBD">
            <wp:simplePos x="0" y="0"/>
            <wp:positionH relativeFrom="margin">
              <wp:posOffset>-29845</wp:posOffset>
            </wp:positionH>
            <wp:positionV relativeFrom="paragraph">
              <wp:posOffset>119380</wp:posOffset>
            </wp:positionV>
            <wp:extent cx="1647825" cy="2609850"/>
            <wp:effectExtent l="0" t="0" r="0" b="0"/>
            <wp:wrapTight wrapText="bothSides">
              <wp:wrapPolygon edited="0">
                <wp:start x="0" y="0"/>
                <wp:lineTo x="0" y="21442"/>
                <wp:lineTo x="21225" y="21442"/>
                <wp:lineTo x="2122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 mesa tapa gafu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0C6C01" w:rsidRDefault="000C6C01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3915F0" w:rsidRDefault="003915F0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Darío Canton</w:t>
      </w:r>
    </w:p>
    <w:p w:rsidR="003915F0" w:rsidRDefault="003915F0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i/>
          <w:color w:val="000000"/>
        </w:rPr>
      </w:pPr>
      <w:r>
        <w:rPr>
          <w:i/>
          <w:color w:val="000000"/>
        </w:rPr>
        <w:t xml:space="preserve">La mesa. Tratado </w:t>
      </w:r>
      <w:proofErr w:type="spellStart"/>
      <w:r>
        <w:rPr>
          <w:i/>
          <w:color w:val="000000"/>
        </w:rPr>
        <w:t>poeti-lógico</w:t>
      </w:r>
    </w:p>
    <w:p w:rsidR="003915F0" w:rsidRDefault="003915F0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proofErr w:type="spellEnd"/>
      <w:r>
        <w:rPr>
          <w:color w:val="000000"/>
        </w:rPr>
        <w:t xml:space="preserve">Buenos Aires: </w:t>
      </w:r>
      <w:proofErr w:type="spellStart"/>
      <w:r>
        <w:rPr>
          <w:color w:val="000000"/>
        </w:rPr>
        <w:t>Zindo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Gafuri</w:t>
      </w:r>
      <w:proofErr w:type="spellEnd"/>
    </w:p>
    <w:p w:rsidR="003915F0" w:rsidRDefault="00024148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2019</w:t>
      </w:r>
    </w:p>
    <w:p w:rsidR="00024148" w:rsidRDefault="003915F0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228 páginas</w:t>
      </w:r>
    </w:p>
    <w:p w:rsidR="00024148" w:rsidRDefault="00024148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A73093" w:rsidRDefault="00A73093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A73093" w:rsidRDefault="00A73093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A73093" w:rsidRDefault="00A73093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6514A4" w:rsidRPr="006514A4" w:rsidRDefault="006514A4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Hace casi cincuenta años</w:t>
      </w:r>
      <w:r w:rsidR="00080382" w:rsidRPr="00587D1E">
        <w:rPr>
          <w:color w:val="000000"/>
        </w:rPr>
        <w:t xml:space="preserve"> apareció en librerías de la ciudad de Buenos Aires </w:t>
      </w:r>
      <w:r w:rsidR="00080382" w:rsidRPr="00587D1E">
        <w:rPr>
          <w:i/>
        </w:rPr>
        <w:t xml:space="preserve">La mesa. Tratado </w:t>
      </w:r>
      <w:proofErr w:type="spellStart"/>
      <w:r w:rsidR="00080382" w:rsidRPr="00587D1E">
        <w:rPr>
          <w:i/>
        </w:rPr>
        <w:t>poeti</w:t>
      </w:r>
      <w:proofErr w:type="spellEnd"/>
      <w:r w:rsidR="00080382" w:rsidRPr="00587D1E">
        <w:rPr>
          <w:i/>
        </w:rPr>
        <w:t>-lógico</w:t>
      </w:r>
      <w:r w:rsidR="00A73093">
        <w:t xml:space="preserve"> de Darío Canton</w:t>
      </w:r>
      <w:r w:rsidR="00080382" w:rsidRPr="00587D1E">
        <w:rPr>
          <w:color w:val="000000"/>
        </w:rPr>
        <w:t xml:space="preserve">, un pequeño libro </w:t>
      </w:r>
      <w:r w:rsidR="003149F9" w:rsidRPr="00587D1E">
        <w:rPr>
          <w:color w:val="000000"/>
        </w:rPr>
        <w:t xml:space="preserve">publicado </w:t>
      </w:r>
      <w:r w:rsidR="00080382" w:rsidRPr="00587D1E">
        <w:rPr>
          <w:color w:val="000000"/>
        </w:rPr>
        <w:t>sin firma de autor</w:t>
      </w:r>
      <w:r>
        <w:rPr>
          <w:color w:val="000000"/>
        </w:rPr>
        <w:t xml:space="preserve"> por el entonces recién creado sello Siglo XXI Argentina. A diferencia de esta nueva edición, en la</w:t>
      </w:r>
      <w:r w:rsidR="00080382" w:rsidRPr="00587D1E">
        <w:rPr>
          <w:color w:val="000000"/>
        </w:rPr>
        <w:t xml:space="preserve"> tapa</w:t>
      </w:r>
      <w:r>
        <w:rPr>
          <w:color w:val="000000"/>
        </w:rPr>
        <w:t xml:space="preserve"> del libro de </w:t>
      </w:r>
      <w:r w:rsidRPr="00587D1E">
        <w:rPr>
          <w:color w:val="000000"/>
        </w:rPr>
        <w:t>1972</w:t>
      </w:r>
      <w:r w:rsidR="00080382" w:rsidRPr="00587D1E">
        <w:rPr>
          <w:color w:val="000000"/>
        </w:rPr>
        <w:t xml:space="preserve"> se observa una suerte de naturaleza muerta</w:t>
      </w:r>
      <w:r w:rsidR="0051664E" w:rsidRPr="00587D1E">
        <w:rPr>
          <w:color w:val="000000"/>
        </w:rPr>
        <w:t xml:space="preserve"> monocromática</w:t>
      </w:r>
      <w:r w:rsidR="00080382" w:rsidRPr="00587D1E">
        <w:rPr>
          <w:color w:val="000000"/>
        </w:rPr>
        <w:t xml:space="preserve">, </w:t>
      </w:r>
      <w:r w:rsidR="00531850">
        <w:rPr>
          <w:color w:val="000000"/>
        </w:rPr>
        <w:t xml:space="preserve">conformada por </w:t>
      </w:r>
      <w:r w:rsidR="00080382" w:rsidRPr="00587D1E">
        <w:rPr>
          <w:color w:val="000000"/>
        </w:rPr>
        <w:t>tres naranjas dispuestas sobre una mesa de madera</w:t>
      </w:r>
      <w:r w:rsidR="003C36FD" w:rsidRPr="00587D1E">
        <w:rPr>
          <w:color w:val="000000"/>
        </w:rPr>
        <w:t>, a modo de homenaje a un libro anterior</w:t>
      </w:r>
      <w:r w:rsidR="00531850">
        <w:rPr>
          <w:color w:val="000000"/>
        </w:rPr>
        <w:t xml:space="preserve"> de Canton</w:t>
      </w:r>
      <w:r w:rsidR="003C36FD" w:rsidRPr="00587D1E">
        <w:rPr>
          <w:color w:val="000000"/>
        </w:rPr>
        <w:t xml:space="preserve">, </w:t>
      </w:r>
      <w:r w:rsidR="003C36FD" w:rsidRPr="00587D1E">
        <w:rPr>
          <w:i/>
          <w:color w:val="000000"/>
        </w:rPr>
        <w:t>Corrupción de la naranja,</w:t>
      </w:r>
      <w:r w:rsidR="00EB55D2">
        <w:rPr>
          <w:color w:val="000000"/>
        </w:rPr>
        <w:t xml:space="preserve"> de</w:t>
      </w:r>
      <w:r w:rsidR="003C36FD" w:rsidRPr="00587D1E">
        <w:rPr>
          <w:i/>
          <w:color w:val="000000"/>
        </w:rPr>
        <w:t xml:space="preserve"> </w:t>
      </w:r>
      <w:r w:rsidR="003C36FD" w:rsidRPr="00587D1E">
        <w:rPr>
          <w:color w:val="000000"/>
        </w:rPr>
        <w:t>1968</w:t>
      </w:r>
      <w:r w:rsidR="00080382" w:rsidRPr="00587D1E">
        <w:rPr>
          <w:color w:val="000000"/>
        </w:rPr>
        <w:t>.</w:t>
      </w:r>
      <w:r>
        <w:rPr>
          <w:color w:val="000000"/>
        </w:rPr>
        <w:t xml:space="preserve"> El lector, algo desconcertado</w:t>
      </w:r>
      <w:r w:rsidR="00CF4514">
        <w:rPr>
          <w:color w:val="000000"/>
        </w:rPr>
        <w:t xml:space="preserve">, </w:t>
      </w:r>
      <w:r w:rsidR="00531850">
        <w:rPr>
          <w:color w:val="000000"/>
        </w:rPr>
        <w:t>se preguntará por qué un texto</w:t>
      </w:r>
      <w:r>
        <w:rPr>
          <w:color w:val="000000"/>
        </w:rPr>
        <w:t xml:space="preserve"> titulado </w:t>
      </w:r>
      <w:r>
        <w:rPr>
          <w:i/>
          <w:color w:val="000000"/>
        </w:rPr>
        <w:t>La mesa</w:t>
      </w:r>
      <w:r w:rsidR="00CF4514">
        <w:rPr>
          <w:color w:val="000000"/>
        </w:rPr>
        <w:t xml:space="preserve"> se presenta ahora precedido por la imagen de un sillón. </w:t>
      </w:r>
      <w:r w:rsidR="00531850">
        <w:rPr>
          <w:color w:val="000000"/>
        </w:rPr>
        <w:t xml:space="preserve">Tal vez, porque como dice el poema, “la mesa / es la forma básica / del mobiliario / la casa toda del hombre: la cama es una mesa / hoy más bien baja / que sirve para dormir; / la silla es una mesa / con respaldo mayor o menor / usada para sentarse / en la que se acuesta el gato” (2019: 28). </w:t>
      </w:r>
    </w:p>
    <w:p w:rsidR="002A6146" w:rsidRDefault="006514A4" w:rsidP="00531850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i/>
          <w:color w:val="000000"/>
        </w:rPr>
      </w:pPr>
      <w:r>
        <w:rPr>
          <w:color w:val="000000"/>
        </w:rPr>
        <w:t>En ambos casos, l</w:t>
      </w:r>
      <w:r w:rsidR="00B35AF4">
        <w:rPr>
          <w:color w:val="000000"/>
        </w:rPr>
        <w:t>a presentación de esa primera edición</w:t>
      </w:r>
      <w:r w:rsidR="00080382" w:rsidRPr="00587D1E">
        <w:rPr>
          <w:color w:val="000000"/>
        </w:rPr>
        <w:t xml:space="preserve"> no es menos extraña que su contenido: se trata de un texto de 2604 versos, dividido en dieciocho secciones temáticas, al estilo</w:t>
      </w:r>
      <w:r w:rsidR="0051664E" w:rsidRPr="00587D1E">
        <w:rPr>
          <w:color w:val="000000"/>
        </w:rPr>
        <w:t xml:space="preserve"> de una entrada enciclopédica</w:t>
      </w:r>
      <w:r w:rsidR="00F8727A">
        <w:rPr>
          <w:color w:val="000000"/>
        </w:rPr>
        <w:t>,</w:t>
      </w:r>
      <w:r w:rsidR="00080382" w:rsidRPr="00587D1E">
        <w:rPr>
          <w:color w:val="000000"/>
        </w:rPr>
        <w:t xml:space="preserve"> cuyo modelo</w:t>
      </w:r>
      <w:r w:rsidR="0051664E" w:rsidRPr="00587D1E">
        <w:rPr>
          <w:color w:val="000000"/>
        </w:rPr>
        <w:t xml:space="preserve"> </w:t>
      </w:r>
      <w:r w:rsidR="00080382" w:rsidRPr="00587D1E">
        <w:rPr>
          <w:color w:val="000000"/>
        </w:rPr>
        <w:t>es</w:t>
      </w:r>
      <w:r w:rsidR="00F8727A">
        <w:rPr>
          <w:color w:val="000000"/>
        </w:rPr>
        <w:t xml:space="preserve">, según el </w:t>
      </w:r>
      <w:r w:rsidR="00F8727A">
        <w:rPr>
          <w:color w:val="000000"/>
        </w:rPr>
        <w:t>relato autobiográfico</w:t>
      </w:r>
      <w:r w:rsidR="00F8727A">
        <w:rPr>
          <w:color w:val="000000"/>
        </w:rPr>
        <w:t xml:space="preserve"> de</w:t>
      </w:r>
      <w:r w:rsidR="0051664E" w:rsidRPr="00587D1E">
        <w:rPr>
          <w:color w:val="000000"/>
        </w:rPr>
        <w:t xml:space="preserve"> Canton (¿hay algún detalle de su actividad como poeta que</w:t>
      </w:r>
      <w:r w:rsidR="007D67AB" w:rsidRPr="00587D1E">
        <w:rPr>
          <w:color w:val="000000"/>
        </w:rPr>
        <w:t xml:space="preserve"> haya podido escapar a su compulsión archivística</w:t>
      </w:r>
      <w:r w:rsidR="0051664E" w:rsidRPr="00587D1E">
        <w:rPr>
          <w:color w:val="000000"/>
        </w:rPr>
        <w:t>?)</w:t>
      </w:r>
      <w:r w:rsidR="00080382" w:rsidRPr="00587D1E">
        <w:rPr>
          <w:color w:val="000000"/>
        </w:rPr>
        <w:t xml:space="preserve"> </w:t>
      </w:r>
      <w:r w:rsidR="003149F9" w:rsidRPr="00587D1E">
        <w:rPr>
          <w:color w:val="000000"/>
        </w:rPr>
        <w:t>el ordenamiento interno</w:t>
      </w:r>
      <w:r w:rsidR="00DD7B7A" w:rsidRPr="00587D1E">
        <w:rPr>
          <w:color w:val="000000"/>
        </w:rPr>
        <w:t xml:space="preserve"> de las entradas del</w:t>
      </w:r>
      <w:r w:rsidR="0051664E" w:rsidRPr="00587D1E">
        <w:rPr>
          <w:color w:val="000000"/>
        </w:rPr>
        <w:t xml:space="preserve"> diccionario</w:t>
      </w:r>
      <w:r w:rsidR="00080382" w:rsidRPr="00587D1E">
        <w:rPr>
          <w:color w:val="000000"/>
        </w:rPr>
        <w:t xml:space="preserve"> </w:t>
      </w:r>
      <w:r w:rsidR="00080382" w:rsidRPr="00587D1E">
        <w:rPr>
          <w:i/>
          <w:color w:val="000000"/>
        </w:rPr>
        <w:t>Espasa</w:t>
      </w:r>
      <w:r w:rsidR="00B35AF4">
        <w:rPr>
          <w:i/>
          <w:color w:val="000000"/>
        </w:rPr>
        <w:t xml:space="preserve"> </w:t>
      </w:r>
      <w:r w:rsidR="001F4162">
        <w:rPr>
          <w:color w:val="000000"/>
        </w:rPr>
        <w:t xml:space="preserve">(Canton 2005). </w:t>
      </w:r>
      <w:r w:rsidR="008A6660">
        <w:rPr>
          <w:color w:val="000000"/>
        </w:rPr>
        <w:t>Así,</w:t>
      </w:r>
      <w:r w:rsidR="008B5186">
        <w:rPr>
          <w:color w:val="000000"/>
        </w:rPr>
        <w:t xml:space="preserve"> l</w:t>
      </w:r>
      <w:r w:rsidR="008B5186" w:rsidRPr="00587D1E">
        <w:rPr>
          <w:color w:val="000000"/>
        </w:rPr>
        <w:t xml:space="preserve">a estructura </w:t>
      </w:r>
      <w:r w:rsidR="008B5186">
        <w:rPr>
          <w:color w:val="000000"/>
        </w:rPr>
        <w:t xml:space="preserve">interna </w:t>
      </w:r>
      <w:r w:rsidR="008B5186" w:rsidRPr="00587D1E">
        <w:rPr>
          <w:color w:val="000000"/>
        </w:rPr>
        <w:t xml:space="preserve">de </w:t>
      </w:r>
      <w:r w:rsidR="008B5186" w:rsidRPr="001274E5">
        <w:rPr>
          <w:i/>
          <w:color w:val="000000"/>
        </w:rPr>
        <w:t>La mesa</w:t>
      </w:r>
      <w:r w:rsidR="008B5186" w:rsidRPr="00587D1E">
        <w:rPr>
          <w:color w:val="000000"/>
        </w:rPr>
        <w:t xml:space="preserve"> presenta una sobreabundancia de </w:t>
      </w:r>
      <w:proofErr w:type="spellStart"/>
      <w:r w:rsidR="008B5186" w:rsidRPr="00587D1E">
        <w:rPr>
          <w:color w:val="000000"/>
        </w:rPr>
        <w:t>paratextos</w:t>
      </w:r>
      <w:proofErr w:type="spellEnd"/>
      <w:r w:rsidR="008B5186" w:rsidRPr="00587D1E">
        <w:rPr>
          <w:color w:val="000000"/>
        </w:rPr>
        <w:t xml:space="preserve">: epígrafe (ni más ni menos que una cita de </w:t>
      </w:r>
      <w:r w:rsidR="008B5186" w:rsidRPr="00587D1E">
        <w:rPr>
          <w:i/>
          <w:color w:val="000000"/>
        </w:rPr>
        <w:t>El capital</w:t>
      </w:r>
      <w:r w:rsidR="008B5186" w:rsidRPr="00587D1E">
        <w:rPr>
          <w:color w:val="000000"/>
        </w:rPr>
        <w:t xml:space="preserve"> de Marx), dedicatoria, entrada de la palabra mesa en distintos “idiomas” (desde inglés hasta cordobés), índice general, índice de nombres, índice de temas, y como si esto fuera poco, </w:t>
      </w:r>
      <w:r w:rsidR="008B5186" w:rsidRPr="00587D1E">
        <w:rPr>
          <w:color w:val="000000"/>
        </w:rPr>
        <w:lastRenderedPageBreak/>
        <w:t>también incluye un apartado dedicado a la bibliografía consultada, que prolonga los juegos verbales del poema.</w:t>
      </w:r>
      <w:r w:rsidR="00080382" w:rsidRPr="00587D1E">
        <w:rPr>
          <w:i/>
          <w:color w:val="000000"/>
        </w:rPr>
        <w:t xml:space="preserve"> </w:t>
      </w:r>
    </w:p>
    <w:p w:rsidR="002559B1" w:rsidRPr="006514A4" w:rsidRDefault="00EB55D2" w:rsidP="006514A4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545454"/>
          <w:shd w:val="clear" w:color="auto" w:fill="FFFFFF"/>
        </w:rPr>
      </w:pPr>
      <w:r>
        <w:rPr>
          <w:color w:val="000000"/>
        </w:rPr>
        <w:t>La primera de las secciones</w:t>
      </w:r>
      <w:r w:rsidR="002559B1">
        <w:rPr>
          <w:color w:val="000000"/>
        </w:rPr>
        <w:t xml:space="preserve"> de esta “enciclopé</w:t>
      </w:r>
      <w:r w:rsidR="008B5186">
        <w:rPr>
          <w:color w:val="000000"/>
        </w:rPr>
        <w:t>dica poética”, Definición, no só</w:t>
      </w:r>
      <w:r w:rsidR="002559B1">
        <w:rPr>
          <w:color w:val="000000"/>
        </w:rPr>
        <w:t xml:space="preserve">lo rodea la acción de delimitar el significado del término </w:t>
      </w:r>
      <w:r>
        <w:rPr>
          <w:color w:val="000000"/>
        </w:rPr>
        <w:t xml:space="preserve">mesa </w:t>
      </w:r>
      <w:r w:rsidR="002559B1">
        <w:rPr>
          <w:color w:val="000000"/>
        </w:rPr>
        <w:t xml:space="preserve">sin concretarla, sino que además omite </w:t>
      </w:r>
      <w:r>
        <w:rPr>
          <w:color w:val="000000"/>
        </w:rPr>
        <w:t xml:space="preserve">deliberadamente </w:t>
      </w:r>
      <w:r w:rsidR="002559B1">
        <w:rPr>
          <w:color w:val="000000"/>
        </w:rPr>
        <w:t xml:space="preserve">la palara más obvia (mueble) a </w:t>
      </w:r>
      <w:r w:rsidR="006514A4">
        <w:rPr>
          <w:color w:val="000000"/>
        </w:rPr>
        <w:t xml:space="preserve">lo largo de casi todo el texto </w:t>
      </w:r>
      <w:r w:rsidR="008B5186" w:rsidRPr="00587D1E">
        <w:rPr>
          <w:color w:val="545454"/>
          <w:shd w:val="clear" w:color="auto" w:fill="FFFFFF"/>
        </w:rPr>
        <w:t>—</w:t>
      </w:r>
      <w:r w:rsidR="002559B1">
        <w:rPr>
          <w:color w:val="000000"/>
        </w:rPr>
        <w:t xml:space="preserve">“…división / entre cosas / </w:t>
      </w:r>
      <w:r w:rsidR="002559B1" w:rsidRPr="002559B1">
        <w:rPr>
          <w:color w:val="000000"/>
        </w:rPr>
        <w:t>muebles e inmuebles</w:t>
      </w:r>
      <w:r w:rsidR="002559B1">
        <w:rPr>
          <w:color w:val="000000"/>
        </w:rPr>
        <w:t xml:space="preserve">” </w:t>
      </w:r>
      <w:r w:rsidR="00F8727A">
        <w:rPr>
          <w:color w:val="000000"/>
        </w:rPr>
        <w:t>(82)</w:t>
      </w:r>
      <w:r w:rsidR="00F8727A">
        <w:rPr>
          <w:color w:val="000000"/>
        </w:rPr>
        <w:t xml:space="preserve"> </w:t>
      </w:r>
      <w:r w:rsidR="002559B1">
        <w:rPr>
          <w:color w:val="000000"/>
        </w:rPr>
        <w:t>se lee reci</w:t>
      </w:r>
      <w:r w:rsidR="00F8727A">
        <w:rPr>
          <w:color w:val="000000"/>
        </w:rPr>
        <w:t xml:space="preserve">én en el apartado XIII, </w:t>
      </w:r>
      <w:r w:rsidR="008B5186">
        <w:rPr>
          <w:color w:val="000000"/>
        </w:rPr>
        <w:t>Derecho</w:t>
      </w:r>
      <w:r w:rsidR="00F8727A">
        <w:rPr>
          <w:color w:val="000000"/>
        </w:rPr>
        <w:t>, en la segunda mitad del libro</w:t>
      </w:r>
      <w:r w:rsidR="008B5186">
        <w:rPr>
          <w:color w:val="000000"/>
        </w:rPr>
        <w:t xml:space="preserve">:  </w:t>
      </w:r>
    </w:p>
    <w:p w:rsidR="002A6146" w:rsidRPr="00EB55D2" w:rsidRDefault="00EB55D2" w:rsidP="002559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B55D2">
        <w:rPr>
          <w:b/>
          <w:color w:val="000000"/>
        </w:rPr>
        <w:t xml:space="preserve"> </w:t>
      </w:r>
    </w:p>
    <w:p w:rsidR="00EB55D2" w:rsidRPr="00BB21E5" w:rsidRDefault="00EB55D2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b/>
          <w:smallCaps/>
          <w:color w:val="000000"/>
          <w:sz w:val="22"/>
          <w:szCs w:val="22"/>
        </w:rPr>
      </w:pPr>
      <w:r w:rsidRPr="00BB21E5">
        <w:rPr>
          <w:b/>
          <w:smallCaps/>
          <w:color w:val="000000"/>
          <w:sz w:val="22"/>
          <w:szCs w:val="22"/>
        </w:rPr>
        <w:t>i. definición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r w:rsidRPr="00BB21E5">
        <w:rPr>
          <w:color w:val="000000"/>
          <w:sz w:val="22"/>
          <w:szCs w:val="22"/>
        </w:rPr>
        <w:t>La mesa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se</w:t>
      </w:r>
      <w:proofErr w:type="gramEnd"/>
      <w:r w:rsidRPr="00BB21E5">
        <w:rPr>
          <w:color w:val="000000"/>
          <w:sz w:val="22"/>
          <w:szCs w:val="22"/>
        </w:rPr>
        <w:t xml:space="preserve"> compone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de</w:t>
      </w:r>
      <w:proofErr w:type="gramEnd"/>
      <w:r w:rsidRPr="00BB21E5">
        <w:rPr>
          <w:color w:val="000000"/>
          <w:sz w:val="22"/>
          <w:szCs w:val="22"/>
        </w:rPr>
        <w:t xml:space="preserve"> una tabla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horizontal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o</w:t>
      </w:r>
      <w:proofErr w:type="gramEnd"/>
      <w:r w:rsidRPr="00BB21E5">
        <w:rPr>
          <w:color w:val="000000"/>
          <w:sz w:val="22"/>
          <w:szCs w:val="22"/>
        </w:rPr>
        <w:t xml:space="preserve"> piedra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r w:rsidRPr="00BB21E5">
        <w:rPr>
          <w:color w:val="000000"/>
          <w:sz w:val="22"/>
          <w:szCs w:val="22"/>
        </w:rPr>
        <w:t>–</w:t>
      </w:r>
      <w:proofErr w:type="gramStart"/>
      <w:r w:rsidRPr="00BB21E5">
        <w:rPr>
          <w:color w:val="000000"/>
          <w:sz w:val="22"/>
          <w:szCs w:val="22"/>
        </w:rPr>
        <w:t>caso</w:t>
      </w:r>
      <w:proofErr w:type="gramEnd"/>
      <w:r w:rsidRPr="00BB21E5">
        <w:rPr>
          <w:color w:val="000000"/>
          <w:sz w:val="22"/>
          <w:szCs w:val="22"/>
        </w:rPr>
        <w:t xml:space="preserve"> del dolmen–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colocada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a</w:t>
      </w:r>
      <w:proofErr w:type="gramEnd"/>
      <w:r w:rsidRPr="00BB21E5">
        <w:rPr>
          <w:color w:val="000000"/>
          <w:sz w:val="22"/>
          <w:szCs w:val="22"/>
        </w:rPr>
        <w:t xml:space="preserve"> cierta altura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sobre</w:t>
      </w:r>
      <w:proofErr w:type="gramEnd"/>
      <w:r w:rsidRPr="00BB21E5">
        <w:rPr>
          <w:color w:val="000000"/>
          <w:sz w:val="22"/>
          <w:szCs w:val="22"/>
        </w:rPr>
        <w:t xml:space="preserve"> el piso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y</w:t>
      </w:r>
      <w:proofErr w:type="gramEnd"/>
      <w:r w:rsidRPr="00BB21E5">
        <w:rPr>
          <w:color w:val="000000"/>
          <w:sz w:val="22"/>
          <w:szCs w:val="22"/>
        </w:rPr>
        <w:t xml:space="preserve"> tres, cuatro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o</w:t>
      </w:r>
      <w:proofErr w:type="gramEnd"/>
      <w:r w:rsidRPr="00BB21E5">
        <w:rPr>
          <w:color w:val="000000"/>
          <w:sz w:val="22"/>
          <w:szCs w:val="22"/>
        </w:rPr>
        <w:t xml:space="preserve"> más patas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que</w:t>
      </w:r>
      <w:proofErr w:type="gramEnd"/>
      <w:r w:rsidRPr="00BB21E5">
        <w:rPr>
          <w:color w:val="000000"/>
          <w:sz w:val="22"/>
          <w:szCs w:val="22"/>
        </w:rPr>
        <w:t xml:space="preserve"> la sostienen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excepcionalmente</w:t>
      </w:r>
      <w:proofErr w:type="gramEnd"/>
      <w:r w:rsidRPr="00BB21E5">
        <w:rPr>
          <w:color w:val="000000"/>
          <w:sz w:val="22"/>
          <w:szCs w:val="22"/>
        </w:rPr>
        <w:t xml:space="preserve"> dos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r w:rsidRPr="00BB21E5">
        <w:rPr>
          <w:color w:val="000000"/>
          <w:sz w:val="22"/>
          <w:szCs w:val="22"/>
        </w:rPr>
        <w:t>(</w:t>
      </w:r>
      <w:proofErr w:type="gramStart"/>
      <w:r w:rsidRPr="00BB21E5">
        <w:rPr>
          <w:color w:val="000000"/>
          <w:sz w:val="22"/>
          <w:szCs w:val="22"/>
        </w:rPr>
        <w:t>por</w:t>
      </w:r>
      <w:proofErr w:type="gramEnd"/>
      <w:r w:rsidRPr="00BB21E5">
        <w:rPr>
          <w:color w:val="000000"/>
          <w:sz w:val="22"/>
          <w:szCs w:val="22"/>
        </w:rPr>
        <w:t xml:space="preserve"> lo común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de</w:t>
      </w:r>
      <w:proofErr w:type="gramEnd"/>
      <w:r w:rsidRPr="00BB21E5">
        <w:rPr>
          <w:color w:val="000000"/>
          <w:sz w:val="22"/>
          <w:szCs w:val="22"/>
        </w:rPr>
        <w:t xml:space="preserve"> uso religioso)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acaso</w:t>
      </w:r>
      <w:proofErr w:type="gramEnd"/>
      <w:r w:rsidRPr="00BB21E5">
        <w:rPr>
          <w:color w:val="000000"/>
          <w:sz w:val="22"/>
          <w:szCs w:val="22"/>
        </w:rPr>
        <w:t xml:space="preserve"> una.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r w:rsidRPr="00BB21E5">
        <w:rPr>
          <w:color w:val="000000"/>
          <w:sz w:val="22"/>
          <w:szCs w:val="22"/>
        </w:rPr>
        <w:t>Está hecha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de</w:t>
      </w:r>
      <w:proofErr w:type="gramEnd"/>
      <w:r w:rsidRPr="00BB21E5">
        <w:rPr>
          <w:color w:val="000000"/>
          <w:sz w:val="22"/>
          <w:szCs w:val="22"/>
        </w:rPr>
        <w:t xml:space="preserve"> madera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o</w:t>
      </w:r>
      <w:proofErr w:type="gramEnd"/>
      <w:r w:rsidRPr="00BB21E5">
        <w:rPr>
          <w:color w:val="000000"/>
          <w:sz w:val="22"/>
          <w:szCs w:val="22"/>
        </w:rPr>
        <w:t xml:space="preserve"> mármol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hierro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cobre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oro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fórmica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vidrio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o</w:t>
      </w:r>
      <w:proofErr w:type="gramEnd"/>
      <w:r w:rsidRPr="00BB21E5">
        <w:rPr>
          <w:color w:val="000000"/>
          <w:sz w:val="22"/>
          <w:szCs w:val="22"/>
        </w:rPr>
        <w:t xml:space="preserve"> cualquier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material</w:t>
      </w:r>
      <w:proofErr w:type="gramEnd"/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a</w:t>
      </w:r>
      <w:proofErr w:type="gramEnd"/>
      <w:r w:rsidRPr="00BB21E5">
        <w:rPr>
          <w:color w:val="000000"/>
          <w:sz w:val="22"/>
          <w:szCs w:val="22"/>
        </w:rPr>
        <w:t xml:space="preserve"> inventar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por</w:t>
      </w:r>
      <w:proofErr w:type="gramEnd"/>
      <w:r w:rsidRPr="00BB21E5">
        <w:rPr>
          <w:color w:val="000000"/>
          <w:sz w:val="22"/>
          <w:szCs w:val="22"/>
        </w:rPr>
        <w:t xml:space="preserve"> grandes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o</w:t>
      </w:r>
      <w:proofErr w:type="gramEnd"/>
      <w:r w:rsidRPr="00BB21E5">
        <w:rPr>
          <w:color w:val="000000"/>
          <w:sz w:val="22"/>
          <w:szCs w:val="22"/>
        </w:rPr>
        <w:t xml:space="preserve"> chicos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r w:rsidRPr="00BB21E5">
        <w:rPr>
          <w:color w:val="000000"/>
          <w:sz w:val="22"/>
          <w:szCs w:val="22"/>
        </w:rPr>
        <w:t>–</w:t>
      </w:r>
      <w:proofErr w:type="gramStart"/>
      <w:r w:rsidRPr="00BB21E5">
        <w:rPr>
          <w:color w:val="000000"/>
          <w:sz w:val="22"/>
          <w:szCs w:val="22"/>
        </w:rPr>
        <w:t>puede</w:t>
      </w:r>
      <w:proofErr w:type="gramEnd"/>
      <w:r w:rsidRPr="00BB21E5">
        <w:rPr>
          <w:color w:val="000000"/>
          <w:sz w:val="22"/>
          <w:szCs w:val="22"/>
        </w:rPr>
        <w:t xml:space="preserve"> ser arena–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y</w:t>
      </w:r>
      <w:proofErr w:type="gramEnd"/>
      <w:r w:rsidRPr="00BB21E5">
        <w:rPr>
          <w:color w:val="000000"/>
          <w:sz w:val="22"/>
          <w:szCs w:val="22"/>
        </w:rPr>
        <w:t xml:space="preserve"> pintada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si</w:t>
      </w:r>
      <w:proofErr w:type="gramEnd"/>
      <w:r w:rsidRPr="00BB21E5">
        <w:rPr>
          <w:color w:val="000000"/>
          <w:sz w:val="22"/>
          <w:szCs w:val="22"/>
        </w:rPr>
        <w:t xml:space="preserve"> acaso</w:t>
      </w:r>
    </w:p>
    <w:p w:rsidR="002559B1" w:rsidRPr="00BB21E5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de</w:t>
      </w:r>
      <w:proofErr w:type="gramEnd"/>
      <w:r w:rsidRPr="00BB21E5">
        <w:rPr>
          <w:color w:val="000000"/>
          <w:sz w:val="22"/>
          <w:szCs w:val="22"/>
        </w:rPr>
        <w:t xml:space="preserve"> diverso color</w:t>
      </w:r>
    </w:p>
    <w:p w:rsidR="002559B1" w:rsidRDefault="002559B1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proofErr w:type="gramStart"/>
      <w:r w:rsidRPr="00BB21E5">
        <w:rPr>
          <w:color w:val="000000"/>
          <w:sz w:val="22"/>
          <w:szCs w:val="22"/>
        </w:rPr>
        <w:t>generalmente</w:t>
      </w:r>
      <w:proofErr w:type="gramEnd"/>
      <w:r w:rsidRPr="00BB21E5">
        <w:rPr>
          <w:color w:val="000000"/>
          <w:sz w:val="22"/>
          <w:szCs w:val="22"/>
        </w:rPr>
        <w:t xml:space="preserve"> el mismo</w:t>
      </w:r>
      <w:r w:rsidR="002A6146" w:rsidRPr="00BB21E5">
        <w:rPr>
          <w:color w:val="000000"/>
          <w:sz w:val="22"/>
          <w:szCs w:val="22"/>
        </w:rPr>
        <w:t>.</w:t>
      </w:r>
    </w:p>
    <w:p w:rsidR="008B3D10" w:rsidRPr="00BB21E5" w:rsidRDefault="008B3D10" w:rsidP="00BB21E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(2019: 23-24)</w:t>
      </w:r>
    </w:p>
    <w:p w:rsidR="002A6146" w:rsidRDefault="002A6146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3C36FD" w:rsidRDefault="003C36FD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587D1E">
        <w:rPr>
          <w:color w:val="000000"/>
        </w:rPr>
        <w:t>La mesa, objeto por antonomasia (</w:t>
      </w:r>
      <w:r w:rsidR="00821C73">
        <w:rPr>
          <w:color w:val="000000"/>
        </w:rPr>
        <w:t>pida a alguien que mencione</w:t>
      </w:r>
      <w:r w:rsidRPr="00587D1E">
        <w:rPr>
          <w:color w:val="000000"/>
        </w:rPr>
        <w:t xml:space="preserve"> objetos al azar: la mesa aparecerá entre los primeros, si es que no primero, como puede verse en el epígrafe de Marx) funciona en el poema como excusa para la proliferación de asociaciones lingüísticas y conceptuales</w:t>
      </w:r>
      <w:r w:rsidR="00587D1E" w:rsidRPr="00587D1E">
        <w:rPr>
          <w:color w:val="000000"/>
        </w:rPr>
        <w:t>. Así, la enumeración atraviesa buena parte del discurso</w:t>
      </w:r>
      <w:r w:rsidR="00587D1E">
        <w:rPr>
          <w:color w:val="000000"/>
        </w:rPr>
        <w:t xml:space="preserve"> y</w:t>
      </w:r>
      <w:r w:rsidR="00587D1E" w:rsidRPr="00587D1E">
        <w:rPr>
          <w:color w:val="000000"/>
        </w:rPr>
        <w:t xml:space="preserve"> permite</w:t>
      </w:r>
      <w:r w:rsidRPr="00587D1E">
        <w:rPr>
          <w:color w:val="000000"/>
        </w:rPr>
        <w:t xml:space="preserve"> </w:t>
      </w:r>
      <w:r w:rsidR="00587D1E" w:rsidRPr="00587D1E">
        <w:rPr>
          <w:color w:val="000000"/>
        </w:rPr>
        <w:t xml:space="preserve">la reunión </w:t>
      </w:r>
      <w:r w:rsidR="00587D1E" w:rsidRPr="00587D1E">
        <w:rPr>
          <w:color w:val="545454"/>
          <w:shd w:val="clear" w:color="auto" w:fill="FFFFFF"/>
        </w:rPr>
        <w:t>—</w:t>
      </w:r>
      <w:r w:rsidR="00587D1E" w:rsidRPr="00587D1E">
        <w:rPr>
          <w:color w:val="000000"/>
        </w:rPr>
        <w:t>insólita</w:t>
      </w:r>
      <w:r w:rsidR="00587D1E" w:rsidRPr="00587D1E">
        <w:rPr>
          <w:color w:val="545454"/>
          <w:shd w:val="clear" w:color="auto" w:fill="FFFFFF"/>
        </w:rPr>
        <w:t>—</w:t>
      </w:r>
      <w:r w:rsidR="00587D1E" w:rsidRPr="00587D1E">
        <w:rPr>
          <w:color w:val="000000"/>
        </w:rPr>
        <w:t xml:space="preserve"> de mesas cigüeña, mesas g</w:t>
      </w:r>
      <w:r w:rsidR="00587D1E">
        <w:rPr>
          <w:color w:val="000000"/>
        </w:rPr>
        <w:t>eneralas, Santas Mesitas</w:t>
      </w:r>
      <w:r w:rsidR="00EB55D2">
        <w:rPr>
          <w:color w:val="000000"/>
        </w:rPr>
        <w:t xml:space="preserve"> de Luz</w:t>
      </w:r>
      <w:r w:rsidR="00587D1E">
        <w:rPr>
          <w:color w:val="000000"/>
        </w:rPr>
        <w:t xml:space="preserve"> e incluso</w:t>
      </w:r>
      <w:r w:rsidR="00587D1E" w:rsidRPr="00587D1E">
        <w:rPr>
          <w:color w:val="000000"/>
        </w:rPr>
        <w:t xml:space="preserve"> mesas del Barroco, en cuya construcción</w:t>
      </w:r>
      <w:r w:rsidR="00587D1E">
        <w:rPr>
          <w:color w:val="000000"/>
        </w:rPr>
        <w:t xml:space="preserve"> los artesanos “</w:t>
      </w:r>
      <w:r w:rsidR="00587D1E" w:rsidRPr="00587D1E">
        <w:rPr>
          <w:color w:val="000000"/>
        </w:rPr>
        <w:t xml:space="preserve">llegaron a tanto / que en la limpieza / de las patas / de algunas mesas / de esa época / desaparecen / varios miembros / de la servidumbre / del palacio”, y como si esto fuera poco, agrega que el </w:t>
      </w:r>
      <w:r w:rsidR="00587D1E" w:rsidRPr="00587D1E">
        <w:rPr>
          <w:color w:val="000000"/>
        </w:rPr>
        <w:lastRenderedPageBreak/>
        <w:t>incidente “…obligó al rey / a dar un edicto / poniendo límites / a la imaginación / de los ebanistas / lo que señala / el fin del período”</w:t>
      </w:r>
      <w:r w:rsidR="008B5186">
        <w:rPr>
          <w:color w:val="000000"/>
        </w:rPr>
        <w:t xml:space="preserve"> (33-34). </w:t>
      </w:r>
    </w:p>
    <w:p w:rsidR="006514A4" w:rsidRDefault="006514A4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6514A4" w:rsidRDefault="006514A4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000000"/>
        </w:rPr>
      </w:pPr>
      <w:r>
        <w:rPr>
          <w:b/>
          <w:color w:val="000000"/>
        </w:rPr>
        <w:t>Las palabras y las mesas</w:t>
      </w:r>
    </w:p>
    <w:p w:rsidR="006514A4" w:rsidRPr="006514A4" w:rsidRDefault="006514A4" w:rsidP="002A614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000000"/>
        </w:rPr>
      </w:pPr>
    </w:p>
    <w:p w:rsidR="002A6146" w:rsidRPr="00A52D65" w:rsidRDefault="002A6146" w:rsidP="00A52D6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Si bien el anonimato del libro jugó en contra d</w:t>
      </w:r>
      <w:r w:rsidR="001F4162">
        <w:rPr>
          <w:color w:val="000000"/>
        </w:rPr>
        <w:t xml:space="preserve">e su difusión, el autor recibió </w:t>
      </w:r>
      <w:r>
        <w:rPr>
          <w:color w:val="000000"/>
        </w:rPr>
        <w:t xml:space="preserve">respuestas de varios críticos (recogidas por </w:t>
      </w:r>
      <w:proofErr w:type="spellStart"/>
      <w:r>
        <w:rPr>
          <w:color w:val="000000"/>
        </w:rPr>
        <w:t>Demian</w:t>
      </w:r>
      <w:proofErr w:type="spellEnd"/>
      <w:r>
        <w:rPr>
          <w:color w:val="000000"/>
        </w:rPr>
        <w:t xml:space="preserve"> Paredes en el prólogo a la edición de </w:t>
      </w:r>
      <w:proofErr w:type="spellStart"/>
      <w:r>
        <w:rPr>
          <w:color w:val="000000"/>
        </w:rPr>
        <w:t>Zindo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Gafuri</w:t>
      </w:r>
      <w:proofErr w:type="spellEnd"/>
      <w:r>
        <w:rPr>
          <w:color w:val="000000"/>
        </w:rPr>
        <w:t xml:space="preserve">). Una de ellas es la de David </w:t>
      </w:r>
      <w:proofErr w:type="spellStart"/>
      <w:r>
        <w:rPr>
          <w:color w:val="000000"/>
        </w:rPr>
        <w:t>Musselwhite</w:t>
      </w:r>
      <w:proofErr w:type="spellEnd"/>
      <w:r>
        <w:rPr>
          <w:color w:val="000000"/>
        </w:rPr>
        <w:t xml:space="preserve">, quien recuerda </w:t>
      </w:r>
      <w:r w:rsidR="00024148">
        <w:rPr>
          <w:color w:val="000000"/>
        </w:rPr>
        <w:t xml:space="preserve">en una carta dirigida a Canton las dos mesas de las que habla Foucault en </w:t>
      </w:r>
      <w:r w:rsidR="00024148">
        <w:rPr>
          <w:i/>
          <w:color w:val="000000"/>
        </w:rPr>
        <w:t>Las palabras y las cosas</w:t>
      </w:r>
      <w:r w:rsidR="00024148">
        <w:rPr>
          <w:color w:val="000000"/>
        </w:rPr>
        <w:t xml:space="preserve">: la mesa de disección de </w:t>
      </w:r>
      <w:proofErr w:type="spellStart"/>
      <w:r w:rsidR="00024148">
        <w:rPr>
          <w:color w:val="000000"/>
        </w:rPr>
        <w:t>Lautréamont</w:t>
      </w:r>
      <w:proofErr w:type="spellEnd"/>
      <w:r w:rsidR="00024148">
        <w:rPr>
          <w:color w:val="000000"/>
        </w:rPr>
        <w:t xml:space="preserve">, que inmoviliza los objetos que se </w:t>
      </w:r>
      <w:r w:rsidR="00173289">
        <w:rPr>
          <w:color w:val="000000"/>
        </w:rPr>
        <w:t>encuentran en su superficie</w:t>
      </w:r>
      <w:r w:rsidR="00024148">
        <w:rPr>
          <w:color w:val="000000"/>
        </w:rPr>
        <w:t xml:space="preserve">, y la mesa como </w:t>
      </w:r>
      <w:r w:rsidR="00024148">
        <w:rPr>
          <w:i/>
          <w:color w:val="000000"/>
        </w:rPr>
        <w:t>cuadro</w:t>
      </w:r>
      <w:r w:rsidR="00932761">
        <w:rPr>
          <w:color w:val="000000"/>
        </w:rPr>
        <w:t xml:space="preserve">, en el sentido de tabla de clasificación </w:t>
      </w:r>
      <w:r w:rsidR="00024148">
        <w:rPr>
          <w:color w:val="000000"/>
        </w:rPr>
        <w:t xml:space="preserve">(en francés, </w:t>
      </w:r>
      <w:proofErr w:type="spellStart"/>
      <w:r w:rsidR="00024148">
        <w:rPr>
          <w:i/>
          <w:color w:val="000000"/>
        </w:rPr>
        <w:t>table</w:t>
      </w:r>
      <w:proofErr w:type="spellEnd"/>
      <w:r w:rsidR="008A4FF9">
        <w:rPr>
          <w:color w:val="000000"/>
        </w:rPr>
        <w:t xml:space="preserve"> cuenta con</w:t>
      </w:r>
      <w:r w:rsidR="00024148">
        <w:rPr>
          <w:color w:val="000000"/>
        </w:rPr>
        <w:t xml:space="preserve"> ambas acepciones)</w:t>
      </w:r>
      <w:r w:rsidR="00A13E78">
        <w:rPr>
          <w:color w:val="000000"/>
        </w:rPr>
        <w:t>,</w:t>
      </w:r>
      <w:r w:rsidR="00071E9D">
        <w:rPr>
          <w:color w:val="000000"/>
        </w:rPr>
        <w:t xml:space="preserve"> donde espacio y escritura </w:t>
      </w:r>
      <w:r w:rsidR="002D38B8">
        <w:rPr>
          <w:color w:val="000000"/>
        </w:rPr>
        <w:t xml:space="preserve">convergen </w:t>
      </w:r>
      <w:r w:rsidR="00071E9D">
        <w:rPr>
          <w:color w:val="000000"/>
        </w:rPr>
        <w:t>para ordenar y reordenar los objetos</w:t>
      </w:r>
      <w:r w:rsidR="008B3D10">
        <w:rPr>
          <w:color w:val="000000"/>
        </w:rPr>
        <w:t xml:space="preserve"> </w:t>
      </w:r>
      <w:r w:rsidR="008B3D10">
        <w:rPr>
          <w:color w:val="000000"/>
        </w:rPr>
        <w:t>(</w:t>
      </w:r>
      <w:r w:rsidR="008B3D10">
        <w:rPr>
          <w:color w:val="000000"/>
        </w:rPr>
        <w:t xml:space="preserve">Canton </w:t>
      </w:r>
      <w:r w:rsidR="008B3D10">
        <w:rPr>
          <w:color w:val="000000"/>
        </w:rPr>
        <w:t>2007:</w:t>
      </w:r>
      <w:r w:rsidR="008B3D10">
        <w:rPr>
          <w:color w:val="000000"/>
        </w:rPr>
        <w:t xml:space="preserve"> 41</w:t>
      </w:r>
      <w:r w:rsidR="008B3D10">
        <w:rPr>
          <w:color w:val="000000"/>
        </w:rPr>
        <w:t>)</w:t>
      </w:r>
      <w:r w:rsidR="00071E9D">
        <w:rPr>
          <w:color w:val="000000"/>
        </w:rPr>
        <w:t>.</w:t>
      </w:r>
      <w:r w:rsidR="00A40E98">
        <w:rPr>
          <w:rStyle w:val="Refdenotaalpie"/>
          <w:color w:val="000000"/>
        </w:rPr>
        <w:footnoteReference w:id="2"/>
      </w:r>
      <w:r w:rsidR="002D38B8">
        <w:rPr>
          <w:color w:val="000000"/>
        </w:rPr>
        <w:t xml:space="preserve"> De acuerdo con</w:t>
      </w:r>
      <w:r w:rsidR="00F8727A">
        <w:rPr>
          <w:color w:val="000000"/>
        </w:rPr>
        <w:t xml:space="preserve"> su testimonio</w:t>
      </w:r>
      <w:r w:rsidR="002D38B8">
        <w:rPr>
          <w:color w:val="000000"/>
        </w:rPr>
        <w:t xml:space="preserve">, Canton no leyó </w:t>
      </w:r>
      <w:r w:rsidR="002D38B8">
        <w:rPr>
          <w:i/>
          <w:color w:val="000000"/>
        </w:rPr>
        <w:t xml:space="preserve">Las palabras y las cosas </w:t>
      </w:r>
      <w:r w:rsidR="002D38B8">
        <w:rPr>
          <w:color w:val="000000"/>
        </w:rPr>
        <w:t xml:space="preserve">antes de redactar </w:t>
      </w:r>
      <w:r w:rsidR="002D38B8">
        <w:rPr>
          <w:i/>
          <w:color w:val="000000"/>
        </w:rPr>
        <w:t>La mesa</w:t>
      </w:r>
      <w:r w:rsidR="008B3D10">
        <w:rPr>
          <w:i/>
          <w:color w:val="000000"/>
        </w:rPr>
        <w:t xml:space="preserve">. </w:t>
      </w:r>
      <w:r w:rsidR="002D38B8">
        <w:rPr>
          <w:color w:val="000000"/>
        </w:rPr>
        <w:t>La primera edición francesa del libro de Foucault es de 1966 (</w:t>
      </w:r>
      <w:proofErr w:type="spellStart"/>
      <w:r w:rsidR="002D38B8">
        <w:rPr>
          <w:color w:val="000000"/>
        </w:rPr>
        <w:t>Gallimard</w:t>
      </w:r>
      <w:proofErr w:type="spellEnd"/>
      <w:r w:rsidR="002D38B8">
        <w:rPr>
          <w:color w:val="000000"/>
        </w:rPr>
        <w:t>), pero la primera edición</w:t>
      </w:r>
      <w:r w:rsidR="006514A4">
        <w:rPr>
          <w:color w:val="000000"/>
        </w:rPr>
        <w:t xml:space="preserve"> latinoamericana </w:t>
      </w:r>
      <w:r w:rsidR="006514A4">
        <w:rPr>
          <w:color w:val="000000"/>
        </w:rPr>
        <w:t>(</w:t>
      </w:r>
      <w:r w:rsidR="002D38B8">
        <w:rPr>
          <w:color w:val="000000"/>
        </w:rPr>
        <w:t>Siglo XXI México, anterior a la creación de la</w:t>
      </w:r>
      <w:r w:rsidR="006514A4">
        <w:rPr>
          <w:color w:val="000000"/>
        </w:rPr>
        <w:t xml:space="preserve"> filial argentina</w:t>
      </w:r>
      <w:r w:rsidR="006514A4">
        <w:rPr>
          <w:color w:val="000000"/>
        </w:rPr>
        <w:t>)</w:t>
      </w:r>
      <w:r w:rsidR="002D38B8">
        <w:rPr>
          <w:color w:val="000000"/>
        </w:rPr>
        <w:t xml:space="preserve"> es de 1968. </w:t>
      </w:r>
      <w:r w:rsidR="00A0394E">
        <w:rPr>
          <w:color w:val="000000"/>
        </w:rPr>
        <w:t>Y sin embargo, ambas</w:t>
      </w:r>
      <w:r w:rsidR="00A40E98">
        <w:rPr>
          <w:color w:val="000000"/>
        </w:rPr>
        <w:t xml:space="preserve"> mesas </w:t>
      </w:r>
      <w:r w:rsidR="00431B07">
        <w:rPr>
          <w:color w:val="000000"/>
        </w:rPr>
        <w:t>se encuentran en el poema.</w:t>
      </w:r>
      <w:r w:rsidR="00A0394E">
        <w:rPr>
          <w:color w:val="000000"/>
        </w:rPr>
        <w:t xml:space="preserve"> </w:t>
      </w:r>
      <w:r w:rsidR="002D38B8">
        <w:rPr>
          <w:color w:val="000000"/>
        </w:rPr>
        <w:t>Si se tiene en cuenta que la redacció</w:t>
      </w:r>
      <w:r w:rsidR="00431B07">
        <w:rPr>
          <w:color w:val="000000"/>
        </w:rPr>
        <w:t xml:space="preserve">n de </w:t>
      </w:r>
      <w:r w:rsidR="00431B07">
        <w:rPr>
          <w:i/>
          <w:color w:val="000000"/>
        </w:rPr>
        <w:t>La mesa</w:t>
      </w:r>
      <w:r w:rsidR="002D38B8">
        <w:rPr>
          <w:color w:val="000000"/>
        </w:rPr>
        <w:t xml:space="preserve"> abarcó el período 1967-</w:t>
      </w:r>
      <w:r w:rsidR="00A40E98">
        <w:rPr>
          <w:color w:val="000000"/>
        </w:rPr>
        <w:t>1969, la coincidencia es asombrosa. La</w:t>
      </w:r>
      <w:r w:rsidR="00431B07">
        <w:rPr>
          <w:color w:val="000000"/>
        </w:rPr>
        <w:t xml:space="preserve"> imagen de </w:t>
      </w:r>
      <w:r w:rsidR="00431B07">
        <w:rPr>
          <w:i/>
          <w:color w:val="000000"/>
        </w:rPr>
        <w:t xml:space="preserve">Les </w:t>
      </w:r>
      <w:proofErr w:type="spellStart"/>
      <w:r w:rsidR="00431B07">
        <w:rPr>
          <w:i/>
          <w:color w:val="000000"/>
        </w:rPr>
        <w:t>chants</w:t>
      </w:r>
      <w:proofErr w:type="spellEnd"/>
      <w:r w:rsidR="00431B07">
        <w:rPr>
          <w:i/>
          <w:color w:val="000000"/>
        </w:rPr>
        <w:t xml:space="preserve"> de </w:t>
      </w:r>
      <w:proofErr w:type="spellStart"/>
      <w:r w:rsidR="00431B07">
        <w:rPr>
          <w:i/>
          <w:color w:val="000000"/>
        </w:rPr>
        <w:t>Maldoror</w:t>
      </w:r>
      <w:proofErr w:type="spellEnd"/>
      <w:r w:rsidR="00431B07">
        <w:rPr>
          <w:i/>
          <w:color w:val="000000"/>
        </w:rPr>
        <w:t xml:space="preserve"> </w:t>
      </w:r>
      <w:r w:rsidR="00431B07">
        <w:rPr>
          <w:color w:val="000000"/>
        </w:rPr>
        <w:t xml:space="preserve">se reescribe en el texto de Canton </w:t>
      </w:r>
      <w:r w:rsidR="002D38B8">
        <w:t>como una d</w:t>
      </w:r>
      <w:r w:rsidR="00431B07">
        <w:t>e las “mesas célebres”</w:t>
      </w:r>
      <w:r w:rsidR="002D38B8">
        <w:t>: “</w:t>
      </w:r>
      <w:r w:rsidR="002D38B8" w:rsidRPr="00952871">
        <w:t>Co</w:t>
      </w:r>
      <w:r w:rsidR="002D38B8">
        <w:t xml:space="preserve">mpletamente distinta / por lo insólita y secular / es en épocas recientes / la mesa de disección / de </w:t>
      </w:r>
      <w:proofErr w:type="spellStart"/>
      <w:r w:rsidR="002D38B8">
        <w:t>Lautréamont</w:t>
      </w:r>
      <w:proofErr w:type="spellEnd"/>
      <w:r w:rsidR="002D38B8">
        <w:t xml:space="preserve"> / sobre la que surge / lo bello / a partir del encuentro / de una máquina de coser / con un paraguas / –descosido, seguramente / lo que dio lugar / </w:t>
      </w:r>
      <w:r w:rsidR="00B35AF4">
        <w:t>al ‘enganche’</w:t>
      </w:r>
      <w:r w:rsidR="008B3D10">
        <w:t xml:space="preserve">” (43). </w:t>
      </w:r>
      <w:r w:rsidR="00A40E98">
        <w:t>Pero s</w:t>
      </w:r>
      <w:r w:rsidR="002D38B8">
        <w:t xml:space="preserve">obre la tabla de </w:t>
      </w:r>
      <w:r w:rsidR="002D38B8">
        <w:rPr>
          <w:i/>
        </w:rPr>
        <w:t>La mesa</w:t>
      </w:r>
      <w:r w:rsidR="002D38B8">
        <w:t xml:space="preserve"> no hay lugar para objetos inconexos: las afinidades dejan de ser secretas y se presentan plena y alegremente</w:t>
      </w:r>
      <w:r w:rsidR="00A40E98">
        <w:t xml:space="preserve"> en la superficie del poema. </w:t>
      </w:r>
      <w:r w:rsidR="00A52D65">
        <w:t>Por otra parte, l</w:t>
      </w:r>
      <w:r w:rsidR="00A13E78">
        <w:t>a mesa como cuadro</w:t>
      </w:r>
      <w:r w:rsidR="00A40E98">
        <w:t xml:space="preserve"> de </w:t>
      </w:r>
      <w:r w:rsidR="00A52D65">
        <w:t>clasificaciones es la organización que subyace en la estructura del poema</w:t>
      </w:r>
      <w:r w:rsidR="000A612B">
        <w:rPr>
          <w:color w:val="000000"/>
        </w:rPr>
        <w:t xml:space="preserve">, que desorganiza el discurso epistemológico para dar lugar al discurso poético. </w:t>
      </w:r>
      <w:r w:rsidR="00A52D65">
        <w:rPr>
          <w:color w:val="000000"/>
        </w:rPr>
        <w:t>L</w:t>
      </w:r>
      <w:r w:rsidR="00071E9D" w:rsidRPr="008A7EFD">
        <w:rPr>
          <w:color w:val="000000"/>
        </w:rPr>
        <w:t>a</w:t>
      </w:r>
      <w:r w:rsidR="00071E9D">
        <w:rPr>
          <w:color w:val="000000"/>
        </w:rPr>
        <w:t xml:space="preserve"> operación de lenguaje que habilita la serie numérica en el esquema</w:t>
      </w:r>
      <w:r w:rsidR="008A7EFD">
        <w:rPr>
          <w:color w:val="000000"/>
        </w:rPr>
        <w:t xml:space="preserve"> de las dieciocho secciones funciona a partir de las mismas ruinas de lenguaje de </w:t>
      </w:r>
      <w:r w:rsidR="00F25C2B">
        <w:rPr>
          <w:color w:val="000000"/>
        </w:rPr>
        <w:t>la</w:t>
      </w:r>
      <w:r w:rsidR="00071E9D">
        <w:rPr>
          <w:color w:val="000000"/>
        </w:rPr>
        <w:t xml:space="preserve"> enumeración de la enciclopedia china de “El idioma analítico de John </w:t>
      </w:r>
      <w:proofErr w:type="spellStart"/>
      <w:r w:rsidR="00071E9D">
        <w:rPr>
          <w:color w:val="000000"/>
        </w:rPr>
        <w:t>Wilkins</w:t>
      </w:r>
      <w:proofErr w:type="spellEnd"/>
      <w:r w:rsidR="00071E9D">
        <w:rPr>
          <w:color w:val="000000"/>
        </w:rPr>
        <w:t>” de Borge</w:t>
      </w:r>
      <w:r w:rsidR="00F25C2B">
        <w:rPr>
          <w:color w:val="000000"/>
        </w:rPr>
        <w:t xml:space="preserve">s. </w:t>
      </w:r>
      <w:r w:rsidR="00F25C2B">
        <w:t>“Hay un desorden peor que el de lo incongruente”, y es</w:t>
      </w:r>
      <w:r w:rsidR="00434AD9">
        <w:t xml:space="preserve"> aquel </w:t>
      </w:r>
      <w:r w:rsidR="00F25C2B">
        <w:t>“que hace centellear los fragmentos de un gran número de posibles órdenes en la d</w:t>
      </w:r>
      <w:r w:rsidR="00434AD9">
        <w:t>imensión (…) de lo heteróclito”, señala Foucault</w:t>
      </w:r>
      <w:r w:rsidR="008B3D10">
        <w:t xml:space="preserve"> (</w:t>
      </w:r>
      <w:r w:rsidR="00F8727A">
        <w:t xml:space="preserve">1969: </w:t>
      </w:r>
      <w:r w:rsidR="008B3D10">
        <w:t>3)</w:t>
      </w:r>
      <w:r w:rsidR="00434AD9">
        <w:t xml:space="preserve">. Si la indagación puramente verbal alrededor del término “mesa” puede funcionar a partir del desarrollo de categorías tales como Hagiografía, Patología, Derecho y Mística, es precisamente porque el contenido de las otras categorías que sí responden a la norma de uso del género enciclopédico </w:t>
      </w:r>
      <w:r w:rsidR="00434AD9" w:rsidRPr="00587D1E">
        <w:rPr>
          <w:color w:val="545454"/>
          <w:shd w:val="clear" w:color="auto" w:fill="FFFFFF"/>
        </w:rPr>
        <w:t>—</w:t>
      </w:r>
      <w:r w:rsidR="00434AD9">
        <w:t>Definición, Usos, Estilos, Etimología</w:t>
      </w:r>
      <w:r w:rsidR="00434AD9" w:rsidRPr="00587D1E">
        <w:rPr>
          <w:color w:val="545454"/>
          <w:shd w:val="clear" w:color="auto" w:fill="FFFFFF"/>
        </w:rPr>
        <w:t>—</w:t>
      </w:r>
      <w:r w:rsidR="00A13E78">
        <w:rPr>
          <w:color w:val="545454"/>
          <w:shd w:val="clear" w:color="auto" w:fill="FFFFFF"/>
        </w:rPr>
        <w:t xml:space="preserve"> </w:t>
      </w:r>
      <w:r w:rsidR="00434AD9">
        <w:t>se encuentra desviado por la lógica desbordante que explota todos los lugare</w:t>
      </w:r>
      <w:r w:rsidR="001D538A">
        <w:t xml:space="preserve">s comunes hasta desmoronarlos. </w:t>
      </w:r>
    </w:p>
    <w:p w:rsidR="00F3595D" w:rsidRPr="00EB55D2" w:rsidRDefault="008A7EFD" w:rsidP="0017328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tab/>
      </w:r>
      <w:r w:rsidR="00460529">
        <w:t xml:space="preserve">La importancia de que </w:t>
      </w:r>
      <w:r w:rsidR="00460529">
        <w:rPr>
          <w:i/>
        </w:rPr>
        <w:t>L</w:t>
      </w:r>
      <w:bookmarkStart w:id="0" w:name="_GoBack"/>
      <w:bookmarkEnd w:id="0"/>
      <w:r w:rsidR="00460529">
        <w:rPr>
          <w:i/>
        </w:rPr>
        <w:t>a mesa</w:t>
      </w:r>
      <w:r>
        <w:t xml:space="preserve"> vuelva a ponerse en circula</w:t>
      </w:r>
      <w:r w:rsidR="00460529">
        <w:t xml:space="preserve">ción radica en el hecho de que </w:t>
      </w:r>
      <w:r w:rsidR="002761D9">
        <w:t xml:space="preserve">aún hoy </w:t>
      </w:r>
      <w:r w:rsidR="00460529">
        <w:t xml:space="preserve">se trata de un libro inclasificable dentro del ámbito de la poesía argentina. Al mismo tiempo, y paradójicamente, es una exploración en clave poética del problema de las clasificaciones. Podría decirse que el único libro que conforma una serie con </w:t>
      </w:r>
      <w:r w:rsidR="00460529">
        <w:rPr>
          <w:i/>
        </w:rPr>
        <w:t>La mesa</w:t>
      </w:r>
      <w:r w:rsidR="00460529">
        <w:t xml:space="preserve"> es el </w:t>
      </w:r>
      <w:r w:rsidR="00460529">
        <w:rPr>
          <w:i/>
        </w:rPr>
        <w:t xml:space="preserve">Abecedario médico Canton </w:t>
      </w:r>
      <w:r w:rsidR="00460529">
        <w:t xml:space="preserve">(1977), ya que retoma esos procedimientos de escritura para llevarlos a un grado extremo, cuyo resultado es un diccionario propiamente dicho, en el que las definiciones producen, como dice Foucault, esa “risa que sacude (…) </w:t>
      </w:r>
      <w:r w:rsidR="00460529">
        <w:lastRenderedPageBreak/>
        <w:t>todo lo familiar al pensamiento” y que trastorna “todas las su</w:t>
      </w:r>
      <w:r w:rsidR="001274E5">
        <w:t xml:space="preserve">perficies ordenadas y todos los </w:t>
      </w:r>
      <w:r w:rsidR="00460529">
        <w:t>planos que ajustan la abundancia de seres”</w:t>
      </w:r>
      <w:r w:rsidR="00F8727A">
        <w:t xml:space="preserve"> (1969: </w:t>
      </w:r>
      <w:r w:rsidR="001274E5">
        <w:t>1</w:t>
      </w:r>
      <w:r w:rsidR="00F8727A">
        <w:t>)</w:t>
      </w:r>
      <w:r w:rsidR="00EB55D2">
        <w:t xml:space="preserve">. </w:t>
      </w:r>
    </w:p>
    <w:p w:rsidR="00F3595D" w:rsidRDefault="00F3595D" w:rsidP="00587D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162" w:rsidRPr="001F4162" w:rsidRDefault="001F4162" w:rsidP="00587D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162">
        <w:rPr>
          <w:rFonts w:ascii="Times New Roman" w:hAnsi="Times New Roman" w:cs="Times New Roman"/>
          <w:b/>
          <w:sz w:val="24"/>
          <w:szCs w:val="24"/>
        </w:rPr>
        <w:t>Bibliografía</w:t>
      </w:r>
    </w:p>
    <w:p w:rsidR="001F4162" w:rsidRDefault="001F4162" w:rsidP="0012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Canton, Darío (</w:t>
      </w:r>
      <w:r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 xml:space="preserve">De la misma llama II. Los años en el Di Tella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1967-1971</w:t>
      </w:r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Buenos Aires, Libros del Zorzal. </w:t>
      </w:r>
    </w:p>
    <w:p w:rsidR="002B604F" w:rsidRDefault="002B604F" w:rsidP="0012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Canton, Darío (</w:t>
      </w:r>
      <w:r w:rsidR="001F4162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 xml:space="preserve">De la misma llama III. De plomo y poesía (1972-1979). </w:t>
      </w:r>
      <w:r>
        <w:rPr>
          <w:rFonts w:ascii="Times New Roman" w:hAnsi="Times New Roman" w:cs="Times New Roman"/>
          <w:sz w:val="24"/>
          <w:szCs w:val="24"/>
        </w:rPr>
        <w:t xml:space="preserve">Buenos Aires, Libros del Zorzal. </w:t>
      </w:r>
    </w:p>
    <w:p w:rsidR="001274E5" w:rsidRDefault="001274E5" w:rsidP="0012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Foucault, Michel (1969) [1966]. </w:t>
      </w:r>
      <w:r>
        <w:rPr>
          <w:rFonts w:ascii="Times New Roman" w:hAnsi="Times New Roman" w:cs="Times New Roman"/>
          <w:i/>
          <w:sz w:val="24"/>
          <w:szCs w:val="24"/>
        </w:rPr>
        <w:t xml:space="preserve">Las palabras y las cosas. </w:t>
      </w:r>
      <w:r>
        <w:rPr>
          <w:rFonts w:ascii="Times New Roman" w:hAnsi="Times New Roman" w:cs="Times New Roman"/>
          <w:sz w:val="24"/>
          <w:szCs w:val="24"/>
        </w:rPr>
        <w:t xml:space="preserve">Segunda edición. México, Siglo XXI. </w:t>
      </w:r>
    </w:p>
    <w:p w:rsidR="001274E5" w:rsidRPr="002B604F" w:rsidRDefault="001274E5" w:rsidP="00587D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74E5" w:rsidRPr="002B6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9E" w:rsidRDefault="008E7B9E" w:rsidP="00F5275E">
      <w:pPr>
        <w:spacing w:after="0" w:line="240" w:lineRule="auto"/>
      </w:pPr>
      <w:r>
        <w:separator/>
      </w:r>
    </w:p>
  </w:endnote>
  <w:endnote w:type="continuationSeparator" w:id="0">
    <w:p w:rsidR="008E7B9E" w:rsidRDefault="008E7B9E" w:rsidP="00F5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9E" w:rsidRDefault="008E7B9E" w:rsidP="00F5275E">
      <w:pPr>
        <w:spacing w:after="0" w:line="240" w:lineRule="auto"/>
      </w:pPr>
      <w:r>
        <w:separator/>
      </w:r>
    </w:p>
  </w:footnote>
  <w:footnote w:type="continuationSeparator" w:id="0">
    <w:p w:rsidR="008E7B9E" w:rsidRDefault="008E7B9E" w:rsidP="00F5275E">
      <w:pPr>
        <w:spacing w:after="0" w:line="240" w:lineRule="auto"/>
      </w:pPr>
      <w:r>
        <w:continuationSeparator/>
      </w:r>
    </w:p>
  </w:footnote>
  <w:footnote w:id="1">
    <w:p w:rsidR="00F5275E" w:rsidRPr="00A52D65" w:rsidRDefault="00F5275E" w:rsidP="00431B07">
      <w:pPr>
        <w:pStyle w:val="Textonotapie"/>
        <w:jc w:val="both"/>
        <w:rPr>
          <w:rFonts w:ascii="Times New Roman" w:hAnsi="Times New Roman" w:cs="Times New Roman"/>
        </w:rPr>
      </w:pPr>
      <w:r w:rsidRPr="00A52D65">
        <w:rPr>
          <w:rStyle w:val="Refdenotaalpie"/>
          <w:rFonts w:ascii="Times New Roman" w:hAnsi="Times New Roman" w:cs="Times New Roman"/>
        </w:rPr>
        <w:footnoteRef/>
      </w:r>
      <w:r w:rsidRPr="00A52D65">
        <w:rPr>
          <w:rFonts w:ascii="Times New Roman" w:hAnsi="Times New Roman" w:cs="Times New Roman"/>
        </w:rPr>
        <w:t xml:space="preserve"> </w:t>
      </w:r>
      <w:r w:rsidR="00654A5C" w:rsidRPr="00A52D65">
        <w:rPr>
          <w:rFonts w:ascii="Times New Roman" w:hAnsi="Times New Roman" w:cs="Times New Roman"/>
        </w:rPr>
        <w:t>Profesora en Letras (</w:t>
      </w:r>
      <w:proofErr w:type="spellStart"/>
      <w:r w:rsidR="00654A5C" w:rsidRPr="00A52D65">
        <w:rPr>
          <w:rFonts w:ascii="Times New Roman" w:hAnsi="Times New Roman" w:cs="Times New Roman"/>
        </w:rPr>
        <w:t>UNMd</w:t>
      </w:r>
      <w:r w:rsidRPr="00A52D65">
        <w:rPr>
          <w:rFonts w:ascii="Times New Roman" w:hAnsi="Times New Roman" w:cs="Times New Roman"/>
        </w:rPr>
        <w:t>P</w:t>
      </w:r>
      <w:proofErr w:type="spellEnd"/>
      <w:r w:rsidR="00654A5C" w:rsidRPr="00A52D65">
        <w:rPr>
          <w:rFonts w:ascii="Times New Roman" w:hAnsi="Times New Roman" w:cs="Times New Roman"/>
        </w:rPr>
        <w:t xml:space="preserve">). Integra el grupo de investigación “Problemas de literatura comparada” a cargo de la Dra. </w:t>
      </w:r>
      <w:r w:rsidR="00654A5C" w:rsidRPr="00A52D65">
        <w:rPr>
          <w:rFonts w:ascii="Times New Roman" w:hAnsi="Times New Roman" w:cs="Times New Roman"/>
          <w:color w:val="000000"/>
        </w:rPr>
        <w:t>Lisa Rose Bradford</w:t>
      </w:r>
      <w:r w:rsidR="00431B07">
        <w:rPr>
          <w:rFonts w:ascii="Times New Roman" w:hAnsi="Times New Roman" w:cs="Times New Roman"/>
          <w:color w:val="000000"/>
        </w:rPr>
        <w:t xml:space="preserve"> </w:t>
      </w:r>
      <w:r w:rsidR="00431B07" w:rsidRPr="00A52D65">
        <w:rPr>
          <w:rFonts w:ascii="Times New Roman" w:hAnsi="Times New Roman" w:cs="Times New Roman"/>
          <w:color w:val="000000"/>
        </w:rPr>
        <w:t>desde 2015</w:t>
      </w:r>
      <w:r w:rsidR="00431B07">
        <w:rPr>
          <w:rFonts w:ascii="Times New Roman" w:hAnsi="Times New Roman" w:cs="Times New Roman"/>
          <w:color w:val="000000"/>
        </w:rPr>
        <w:t>, bajo la dirección de la Dra. Ana Porrúa</w:t>
      </w:r>
      <w:r w:rsidR="00654A5C" w:rsidRPr="00A52D65">
        <w:rPr>
          <w:rFonts w:ascii="Times New Roman" w:hAnsi="Times New Roman" w:cs="Times New Roman"/>
        </w:rPr>
        <w:t>.</w:t>
      </w:r>
      <w:r w:rsidRPr="00A52D65">
        <w:rPr>
          <w:rFonts w:ascii="Times New Roman" w:hAnsi="Times New Roman" w:cs="Times New Roman"/>
        </w:rPr>
        <w:t xml:space="preserve"> </w:t>
      </w:r>
      <w:r w:rsidR="00431B07">
        <w:rPr>
          <w:rFonts w:ascii="Times New Roman" w:hAnsi="Times New Roman" w:cs="Times New Roman"/>
        </w:rPr>
        <w:t>Colabora en el proyecto “</w:t>
      </w:r>
      <w:r w:rsidR="00431B07" w:rsidRPr="00431B07">
        <w:rPr>
          <w:rFonts w:ascii="Times New Roman" w:hAnsi="Times New Roman" w:cs="Times New Roman"/>
        </w:rPr>
        <w:t>El archivo como política de lectura</w:t>
      </w:r>
      <w:r w:rsidR="00431B07">
        <w:rPr>
          <w:rFonts w:ascii="Times New Roman" w:hAnsi="Times New Roman" w:cs="Times New Roman"/>
        </w:rPr>
        <w:t xml:space="preserve">”, dirigido por la Dra. Graciela </w:t>
      </w:r>
      <w:proofErr w:type="spellStart"/>
      <w:r w:rsidR="00431B07">
        <w:rPr>
          <w:rFonts w:ascii="Times New Roman" w:hAnsi="Times New Roman" w:cs="Times New Roman"/>
        </w:rPr>
        <w:t>Goldchluk</w:t>
      </w:r>
      <w:proofErr w:type="spellEnd"/>
      <w:r w:rsidR="00431B07">
        <w:rPr>
          <w:rFonts w:ascii="Times New Roman" w:hAnsi="Times New Roman" w:cs="Times New Roman"/>
        </w:rPr>
        <w:t xml:space="preserve"> (</w:t>
      </w:r>
      <w:proofErr w:type="spellStart"/>
      <w:r w:rsidR="00431B07">
        <w:rPr>
          <w:rFonts w:ascii="Times New Roman" w:hAnsi="Times New Roman" w:cs="Times New Roman"/>
        </w:rPr>
        <w:t>FaCEH</w:t>
      </w:r>
      <w:proofErr w:type="spellEnd"/>
      <w:r w:rsidR="00431B07">
        <w:rPr>
          <w:rFonts w:ascii="Times New Roman" w:hAnsi="Times New Roman" w:cs="Times New Roman"/>
        </w:rPr>
        <w:t xml:space="preserve">-UNLP). </w:t>
      </w:r>
      <w:r w:rsidR="00654A5C" w:rsidRPr="00A52D65">
        <w:rPr>
          <w:rFonts w:ascii="Times New Roman" w:hAnsi="Times New Roman" w:cs="Times New Roman"/>
        </w:rPr>
        <w:t xml:space="preserve">Actualmente trabaja en la organización del archivo literario de Darío Canton. </w:t>
      </w:r>
      <w:r w:rsidRPr="00A52D65">
        <w:rPr>
          <w:rFonts w:ascii="Times New Roman" w:hAnsi="Times New Roman" w:cs="Times New Roman"/>
        </w:rPr>
        <w:t>Contacto: lucianadimilta@gmail.com</w:t>
      </w:r>
    </w:p>
  </w:footnote>
  <w:footnote w:id="2">
    <w:p w:rsidR="00A40E98" w:rsidRPr="00A52D65" w:rsidRDefault="00A40E98" w:rsidP="00A40E98">
      <w:pPr>
        <w:pStyle w:val="Textonotapie"/>
        <w:jc w:val="both"/>
        <w:rPr>
          <w:rFonts w:ascii="Times New Roman" w:hAnsi="Times New Roman" w:cs="Times New Roman"/>
        </w:rPr>
      </w:pPr>
      <w:r w:rsidRPr="00A52D65">
        <w:rPr>
          <w:rStyle w:val="Refdenotaalpie"/>
          <w:rFonts w:ascii="Times New Roman" w:hAnsi="Times New Roman" w:cs="Times New Roman"/>
        </w:rPr>
        <w:footnoteRef/>
      </w:r>
      <w:r w:rsidRPr="00A52D65">
        <w:rPr>
          <w:rFonts w:ascii="Times New Roman" w:hAnsi="Times New Roman" w:cs="Times New Roman"/>
        </w:rPr>
        <w:t xml:space="preserve"> </w:t>
      </w:r>
      <w:r w:rsidRPr="00A52D65">
        <w:rPr>
          <w:rFonts w:ascii="Times New Roman" w:hAnsi="Times New Roman" w:cs="Times New Roman"/>
          <w:color w:val="231F20"/>
        </w:rPr>
        <w:t xml:space="preserve">“…empleo esta palabra “Mesa” en dos sentidos superpuestos: mesa niquelada, </w:t>
      </w:r>
      <w:proofErr w:type="spellStart"/>
      <w:r w:rsidRPr="00A52D65">
        <w:rPr>
          <w:rFonts w:ascii="Times New Roman" w:hAnsi="Times New Roman" w:cs="Times New Roman"/>
          <w:color w:val="231F20"/>
        </w:rPr>
        <w:t>ahulada</w:t>
      </w:r>
      <w:proofErr w:type="spellEnd"/>
      <w:r w:rsidRPr="00A52D65">
        <w:rPr>
          <w:rFonts w:ascii="Times New Roman" w:hAnsi="Times New Roman" w:cs="Times New Roman"/>
          <w:color w:val="231F20"/>
        </w:rPr>
        <w:t>, envuelta en blancura, resplandeciente bajo el sol de vidrio que devora las sombras –allí, por un instante, quizá para siempre, el paraguas se encuentra con la máquina de coser–; y cuadro que permite al pensamiento llevar a  cabo un ordenamiento de los seres, una repartición en clases, un agrupamiento nominal por el cual se designan sus semejanzas y sus diferencias –allí donde, desde el fondo de los tiempos, el lenguaje se entrecruza con el espacio” (</w:t>
      </w:r>
      <w:r w:rsidR="001274E5">
        <w:rPr>
          <w:rFonts w:ascii="Times New Roman" w:hAnsi="Times New Roman" w:cs="Times New Roman"/>
          <w:color w:val="231F20"/>
        </w:rPr>
        <w:t>Foucault 1969</w:t>
      </w:r>
      <w:r w:rsidRPr="00A52D65">
        <w:rPr>
          <w:rFonts w:ascii="Times New Roman" w:hAnsi="Times New Roman" w:cs="Times New Roman"/>
          <w:color w:val="231F20"/>
        </w:rPr>
        <w:t xml:space="preserve">: 3).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1F4E"/>
    <w:multiLevelType w:val="hybridMultilevel"/>
    <w:tmpl w:val="83249B16"/>
    <w:lvl w:ilvl="0" w:tplc="A49C7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20"/>
    <w:rsid w:val="00024148"/>
    <w:rsid w:val="00071E9D"/>
    <w:rsid w:val="00080382"/>
    <w:rsid w:val="000A612B"/>
    <w:rsid w:val="000C6C01"/>
    <w:rsid w:val="001274E5"/>
    <w:rsid w:val="00156E81"/>
    <w:rsid w:val="00173289"/>
    <w:rsid w:val="001C4505"/>
    <w:rsid w:val="001D538A"/>
    <w:rsid w:val="001F4162"/>
    <w:rsid w:val="002559B1"/>
    <w:rsid w:val="002761D9"/>
    <w:rsid w:val="002A6146"/>
    <w:rsid w:val="002B604F"/>
    <w:rsid w:val="002C740E"/>
    <w:rsid w:val="002D38B8"/>
    <w:rsid w:val="003149F9"/>
    <w:rsid w:val="0034495C"/>
    <w:rsid w:val="003915F0"/>
    <w:rsid w:val="003C36FD"/>
    <w:rsid w:val="00431B07"/>
    <w:rsid w:val="00434AD9"/>
    <w:rsid w:val="00460529"/>
    <w:rsid w:val="0051664E"/>
    <w:rsid w:val="00531850"/>
    <w:rsid w:val="00587D1E"/>
    <w:rsid w:val="006514A4"/>
    <w:rsid w:val="00654A5C"/>
    <w:rsid w:val="00706699"/>
    <w:rsid w:val="00726D2F"/>
    <w:rsid w:val="007D67AB"/>
    <w:rsid w:val="00821C73"/>
    <w:rsid w:val="008A0BB8"/>
    <w:rsid w:val="008A4FF9"/>
    <w:rsid w:val="008A6660"/>
    <w:rsid w:val="008A7EFD"/>
    <w:rsid w:val="008B3D10"/>
    <w:rsid w:val="008B5186"/>
    <w:rsid w:val="008D5900"/>
    <w:rsid w:val="008E40F2"/>
    <w:rsid w:val="008E7B9E"/>
    <w:rsid w:val="008F1920"/>
    <w:rsid w:val="00932761"/>
    <w:rsid w:val="00A0394E"/>
    <w:rsid w:val="00A13E78"/>
    <w:rsid w:val="00A40E98"/>
    <w:rsid w:val="00A52D65"/>
    <w:rsid w:val="00A73093"/>
    <w:rsid w:val="00B35AF4"/>
    <w:rsid w:val="00BB21E5"/>
    <w:rsid w:val="00CF4514"/>
    <w:rsid w:val="00D11E30"/>
    <w:rsid w:val="00D81476"/>
    <w:rsid w:val="00DB513D"/>
    <w:rsid w:val="00DD7B7A"/>
    <w:rsid w:val="00E16B53"/>
    <w:rsid w:val="00EB55D2"/>
    <w:rsid w:val="00F21FCA"/>
    <w:rsid w:val="00F25C2B"/>
    <w:rsid w:val="00F3595D"/>
    <w:rsid w:val="00F5275E"/>
    <w:rsid w:val="00F8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62CA8-AE87-456D-982F-52CBEB7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8F192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F1920"/>
    <w:rPr>
      <w:color w:val="0000FF"/>
      <w:u w:val="single"/>
    </w:rPr>
  </w:style>
  <w:style w:type="character" w:customStyle="1" w:styleId="fontstyle01">
    <w:name w:val="fontstyle01"/>
    <w:basedOn w:val="Fuentedeprrafopredeter"/>
    <w:rsid w:val="00726D2F"/>
    <w:rPr>
      <w:rFonts w:ascii="Frutiger-Cn" w:hAnsi="Frutiger-Cn" w:hint="default"/>
      <w:b w:val="0"/>
      <w:bCs w:val="0"/>
      <w:i w:val="0"/>
      <w:iCs w:val="0"/>
      <w:color w:val="171819"/>
      <w:sz w:val="20"/>
      <w:szCs w:val="20"/>
    </w:rPr>
  </w:style>
  <w:style w:type="character" w:customStyle="1" w:styleId="fontstyle21">
    <w:name w:val="fontstyle21"/>
    <w:basedOn w:val="Fuentedeprrafopredeter"/>
    <w:rsid w:val="00726D2F"/>
    <w:rPr>
      <w:rFonts w:ascii="Frutiger-Cn" w:hAnsi="Frutiger-Cn" w:hint="default"/>
      <w:b w:val="0"/>
      <w:bCs w:val="0"/>
      <w:i w:val="0"/>
      <w:iCs w:val="0"/>
      <w:color w:val="171819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7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7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BD36-D146-4E67-9BC8-53AE60DB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1171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24</cp:revision>
  <dcterms:created xsi:type="dcterms:W3CDTF">2019-11-05T00:04:00Z</dcterms:created>
  <dcterms:modified xsi:type="dcterms:W3CDTF">2019-11-28T19:26:00Z</dcterms:modified>
</cp:coreProperties>
</file>